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r>
        <w:t>Jake Richard Meyers - Information Technology &amp; Cybersecurity Architect - v26.8.18 - Standard</w:t>
      </w:r>
    </w:p>
    <w:p>
      <w:pPr>
        <w:pStyle w:val="Heading2"/>
      </w:pPr>
      <w:r/>
      <w:r>
        <w:t>Profile</w:t>
      </w:r>
    </w:p>
    <w:p>
      <w:pPr>
        <w:pStyle w:val="Heading3"/>
      </w:pPr>
      <w:r/>
      <w:r>
        <w:t>Background</w:t>
      </w:r>
    </w:p>
    <w:p>
      <w:pPr>
        <w:pStyle w:val="Heading2"/>
      </w:pPr>
      <w:r/>
      <w:r>
        <w:t>Education</w:t>
      </w:r>
    </w:p>
    <w:p>
      <w:pPr>
        <w:pStyle w:val="Heading3"/>
      </w:pPr>
      <w:r/>
      <w:r>
        <w:t>The University of Michigan, Ann Arbor, MI</w:t>
      </w:r>
    </w:p>
    <w:p>
      <w:pPr>
        <w:numPr>
          <w:ilvl w:val="0"/>
          <w:numId w:val="13"/>
        </w:numPr>
      </w:pPr>
      <w:r/>
      <w:r>
        <w:t>College of Literature, Science, and the Arts (LSA) | Biochemistry, Economics, and Data Science</w:t>
      </w:r>
    </w:p>
    <w:p>
      <w:pPr>
        <w:numPr>
          <w:ilvl w:val="0"/>
          <w:numId w:val="13"/>
        </w:numPr>
      </w:pPr>
      <w:r/>
      <w:r>
        <w:t>School of Music, Theatre, and Dance (SMTD) | Design &amp; Production, Stage Management, Lighting Design &amp; Electrics, Sound Engineering, and Music Production</w:t>
      </w:r>
    </w:p>
    <w:p>
      <w:pPr>
        <w:pStyle w:val="Heading3"/>
      </w:pPr>
      <w:r/>
      <w:r>
        <w:t>Detroit Country Day School, Beverly Hills, MI</w:t>
      </w:r>
    </w:p>
    <w:p>
      <w:pPr>
        <w:numPr>
          <w:ilvl w:val="0"/>
          <w:numId w:val="13"/>
        </w:numPr>
      </w:pPr>
      <w:r/>
      <w:r>
        <w:t>High School Diploma | College Preparatory Curriculum</w:t>
      </w:r>
    </w:p>
    <w:p>
      <w:pPr>
        <w:pStyle w:val="Heading3"/>
      </w:pPr>
      <w:r/>
      <w:r>
        <w:t>Skills</w:t>
      </w:r>
    </w:p>
    <w:p>
      <w:pPr>
        <w:numPr>
          <w:ilvl w:val="0"/>
          <w:numId w:val="13"/>
        </w:numPr>
      </w:pPr>
      <w:r/>
      <w:r>
        <w:rPr>
          <w:i/>
        </w:rPr>
        <w:t>AI Systems, Safety &amp; Applied LLM Engineering</w:t>
      </w:r>
      <w:r>
        <w:t>*</w:t>
      </w:r>
    </w:p>
    <w:p>
      <w:pPr>
        <w:numPr>
          <w:ilvl w:val="0"/>
          <w:numId w:val="13"/>
        </w:numPr>
      </w:pPr>
      <w:r/>
      <w:r>
        <w:t>Deterministic guardrails, immutable attribution, continuous red-team/blue-team exercises, adversarial safety-control testing, prompt-injection and jailbreak evaluation, model evaluation frameworks, secure LLM deployment patterns, Retrieval-Augmented Generation (RAG), vector databases and embeddings, model- and platform-agnostic XLM (LLM/SLM) orchestration, MCP toolkits, Azure AI Foundry, Ollama/local models, hybrid multi-model routing, token optimization, AI-assisted development guardrails</w:t>
      </w:r>
    </w:p>
    <w:p>
      <w:pPr>
        <w:numPr>
          <w:ilvl w:val="0"/>
          <w:numId w:val="13"/>
        </w:numPr>
      </w:pPr>
      <w:r/>
      <w:r>
        <w:rPr>
          <w:i/>
        </w:rPr>
        <w:t>Azure Data, Analytics &amp; AI Platforms</w:t>
      </w:r>
      <w:r>
        <w:t>*</w:t>
      </w:r>
    </w:p>
    <w:p>
      <w:pPr>
        <w:numPr>
          <w:ilvl w:val="0"/>
          <w:numId w:val="13"/>
        </w:numPr>
      </w:pPr>
      <w:r/>
      <w:r>
        <w:t>Azure Databricks, Databricks lakehouse architecture, Apache Spark, Delta Lake, Unity Catalog, MLflow, medallion architecture, Azure Data Lake Storage, Microsoft Fabric, OneLake integration patterns, Azure Synapse Analytics, Azure Machine Learning, Azure AI Services, Azure Data Factory, Event Hubs, streaming analytics, data lakes, data warehouses, data landing zones, governed analytics platforms, reusable reference architectures, workload modernization, production readiness, Cloud Adoption Framework, Azure Well-Architected Framework for analytics and AI workloads</w:t>
      </w:r>
    </w:p>
    <w:p>
      <w:pPr>
        <w:numPr>
          <w:ilvl w:val="0"/>
          <w:numId w:val="13"/>
        </w:numPr>
      </w:pPr>
      <w:r/>
      <w:r>
        <w:rPr>
          <w:i/>
        </w:rPr>
        <w:t>Identity, Access &amp; Cryptography</w:t>
      </w:r>
      <w:r>
        <w:t>*</w:t>
      </w:r>
    </w:p>
    <w:p>
      <w:pPr>
        <w:numPr>
          <w:ilvl w:val="0"/>
          <w:numId w:val="13"/>
        </w:numPr>
      </w:pPr>
      <w:r/>
      <w:r>
        <w:t>Microsoft Entra ID / Azure AD, Entra ID Governance, access reviews, entitlement management, Privileged Identity Management (PIM), Just-in-Time access, Continuous Access Evaluation (CAE), Conditional Access, passwordless deployment programs, FIDO / MFA, workload identities, managed identities, service principals at scale, RBAC &amp; least-privilege design, Just Enough Administration (JEA), Azure Key Vault, secrets-management patterns, certificate-based authentication, PKI, certificate lifecycle management, Bring-Your-Own-Key (BYOK) &amp; Hold-Your-Own-Key (HYOK) cryptography, Active Directory (schema-level) Domain/Certificate/Federation Services, Okta, Okta Workflows, Lifecycle Management, Ping, customer identity and access management (CIAM), Entra ID B2C, Auth0 patterns, SCIM and automated lifecycle provisioning</w:t>
      </w:r>
    </w:p>
    <w:p>
      <w:pPr>
        <w:numPr>
          <w:ilvl w:val="0"/>
          <w:numId w:val="13"/>
        </w:numPr>
      </w:pPr>
      <w:r/>
      <w:r>
        <w:rPr>
          <w:i/>
        </w:rPr>
        <w:t>Cybersecurity Architecture, Detection &amp; Operations</w:t>
      </w:r>
      <w:r>
        <w:t>*</w:t>
      </w:r>
    </w:p>
    <w:p>
      <w:pPr>
        <w:numPr>
          <w:ilvl w:val="0"/>
          <w:numId w:val="13"/>
        </w:numPr>
      </w:pPr>
      <w:r/>
      <w:r>
        <w:t>Zero Trust, Microsoft Defender / Purview, Defender for Cloud Apps, Pentera, SIEM / SOAR, Microsoft Sentinel analytics rules, hunting, UEBA, KQL, SASE, XDR &amp; vulnerability management, Attack Surface Reduction (ASR), Windows Defender Application Control (WDAC), AppLocker, endpoint protection, incident response &amp; post-incident remediation, privileged-access overhauls, shadow IT discovery, Secure Score and Identity Secure Score programs, threat modeling, anti-bot / anti-fraud / account-abuse controls, bot-management platforms, DDoS mitigation, WAF operational ownership, HAProxy Enterprise WAF patterns, application security controls as code, rate-limit and routing policy as code, REST and GraphQL API security, SSDLC and secure delivery frameworks, OWASP SAMM / BSIMM-aligned maturity programs, change-integrated security scanning</w:t>
      </w:r>
    </w:p>
    <w:p>
      <w:pPr>
        <w:numPr>
          <w:ilvl w:val="0"/>
          <w:numId w:val="13"/>
        </w:numPr>
      </w:pPr>
      <w:r/>
      <w:r>
        <w:rPr>
          <w:i/>
        </w:rPr>
        <w:t>Microsoft Purview, DLP &amp; Information Protection</w:t>
      </w:r>
      <w:r>
        <w:t>*</w:t>
      </w:r>
    </w:p>
    <w:p>
      <w:pPr>
        <w:numPr>
          <w:ilvl w:val="0"/>
          <w:numId w:val="13"/>
        </w:numPr>
      </w:pPr>
      <w:r/>
      <w:r>
        <w:t>Microsoft Purview Data Loss Prevention across Microsoft 365 and endpoints, Exchange / SharePoint / OneDrive / Teams DLP, sensitivity labels, auto-labeling, retention labels and policies, Insider Risk Management, eDiscovery, content explorer, data classification, sensitive-data discovery and mapping, DLP policy authoring, testing, deployment, monitoring, tuning, false-positive reduction, alert investigation, remediation workflows, AD RMS to Azure Information Protection (AIP) to Microsoft Information Protection (MIP) to Purview modernization, Zero Trust-aligned information protection</w:t>
      </w:r>
    </w:p>
    <w:p>
      <w:pPr>
        <w:numPr>
          <w:ilvl w:val="0"/>
          <w:numId w:val="13"/>
        </w:numPr>
      </w:pPr>
      <w:r/>
      <w:r>
        <w:rPr>
          <w:i/>
        </w:rPr>
        <w:t>Cloud, Network &amp; Enterprise Infrastructure</w:t>
      </w:r>
      <w:r>
        <w:t>*</w:t>
      </w:r>
    </w:p>
    <w:p>
      <w:pPr>
        <w:numPr>
          <w:ilvl w:val="0"/>
          <w:numId w:val="13"/>
        </w:numPr>
      </w:pPr>
      <w:r/>
      <w:r>
        <w:t>Azure Landing Zones, Azure Policy, Landing Zone Accelerator patterns, Azure Arc, Virtual WAN, Azure Stack, hybrid cloud, multi-cloud operations across Azure, AWS, and Google Cloud Platform (GCP), Azure / GCP security and third-party-risk comparisons, Azure Private Link / Private Endpoints, Application Gateway, Front Door, Azure Firewall Premium, Web Application Firewall (WAF), Network Security Groups (NSG), Application Security Groups (ASG), Well-Architected Framework, private cloud / bare metal / OpenStack, geo-resiliency, high-availability patterns, vendor-agnostic infrastructure schemas</w:t>
      </w:r>
    </w:p>
    <w:p>
      <w:pPr>
        <w:numPr>
          <w:ilvl w:val="0"/>
          <w:numId w:val="13"/>
        </w:numPr>
      </w:pPr>
      <w:r/>
      <w:r>
        <w:rPr>
          <w:i/>
        </w:rPr>
        <w:t>Infrastructure as Code, DevOps &amp; Supply Chain</w:t>
      </w:r>
      <w:r>
        <w:t>*</w:t>
      </w:r>
    </w:p>
    <w:p>
      <w:pPr>
        <w:numPr>
          <w:ilvl w:val="0"/>
          <w:numId w:val="13"/>
        </w:numPr>
      </w:pPr>
      <w:r/>
      <w:r>
        <w:t>Terraform, ARM / Bicep, PowerShell, GitHub, Azure DevOps, GitHub Advanced Security, CodeQL, Dependabot, CI/CD pipelines, Policy as Code, drift detection, Infrastructure-as-Code engines, repository governance, configuration management patterns, AKS / Kubernetes, full lifecycle automation, SecOps automation, Software Bill of Materials (SBOM), supply-chain security</w:t>
      </w:r>
    </w:p>
    <w:p>
      <w:pPr>
        <w:numPr>
          <w:ilvl w:val="0"/>
          <w:numId w:val="13"/>
        </w:numPr>
      </w:pPr>
      <w:r/>
      <w:r>
        <w:rPr>
          <w:i/>
        </w:rPr>
        <w:t>Observability, Cost &amp; Platform Operations</w:t>
      </w:r>
      <w:r>
        <w:t>*</w:t>
      </w:r>
    </w:p>
    <w:p>
      <w:pPr>
        <w:numPr>
          <w:ilvl w:val="0"/>
          <w:numId w:val="13"/>
        </w:numPr>
      </w:pPr>
      <w:r/>
      <w:r>
        <w:t>Azure Monitor, Log Analytics, KQL, observability patterns, edge-to-transaction and edge-to-application telemetry, Azure Cost Management, FinOps, cloud-cost optimization, IT financial management, budget ownership, P&amp;L ownership, operational dashboards, service delivery, SLA and operational performance systems, ITIL/MSP operating models, on-call and high-demand event support models, game-day / ticket-launch style operating patterns, large-scale remote-work enablement, executive and cross-functional stakeholder engagement, non-technical stakeholder training and awareness programs, project and program management, SCRUM leadership, mentoring and technical training program development</w:t>
      </w:r>
    </w:p>
    <w:p>
      <w:pPr>
        <w:numPr>
          <w:ilvl w:val="0"/>
          <w:numId w:val="13"/>
        </w:numPr>
      </w:pPr>
      <w:r/>
      <w:r>
        <w:rPr>
          <w:i/>
        </w:rPr>
        <w:t>Languages, Data Systems &amp; Database Security</w:t>
      </w:r>
      <w:r>
        <w:t>*</w:t>
      </w:r>
    </w:p>
    <w:p>
      <w:pPr>
        <w:numPr>
          <w:ilvl w:val="0"/>
          <w:numId w:val="13"/>
        </w:numPr>
      </w:pPr>
      <w:r/>
      <w:r>
        <w:t>Rust, Python, C# / .NET, Node.js / Next.js, PowerShell, SQL (multiple dialects), R, C/FFI; Microsoft SQL Server Always On, PostgreSQL, MySQL, Cosmos DB / MongoDB, Oracle, large-scale (petabyte-class) data environments, live interconversion &amp; normalization, Always Encrypted, Dynamic Data Masking, Row-Level Security</w:t>
      </w:r>
    </w:p>
    <w:p>
      <w:pPr>
        <w:numPr>
          <w:ilvl w:val="0"/>
          <w:numId w:val="13"/>
        </w:numPr>
      </w:pPr>
      <w:r/>
      <w:r>
        <w:rPr>
          <w:i/>
        </w:rPr>
        <w:t>Networking, Storage &amp; Core Infrastructure</w:t>
      </w:r>
      <w:r>
        <w:t>*</w:t>
      </w:r>
    </w:p>
    <w:p>
      <w:pPr>
        <w:numPr>
          <w:ilvl w:val="0"/>
          <w:numId w:val="13"/>
        </w:numPr>
      </w:pPr>
      <w:r/>
      <w:r>
        <w:t>SD-WAN / SDN, data-center and enterprise network architecture, BGP, OSPF, VXLAN / EVPN, network fabric, multicast, QoS, network reliability engineering (NRE), chaos / self-healing network practices, CDN and edge networking, Fastly / Akamai / Cloudflare patterns, HAProxy at edge, streaming and media-transport support patterns, virtual networking and firewalls, Storage Spaces Direct (S2D), DFS, Windows Failover Clustering, VDI, VPN scale-out, Active Directory infrastructure, Azure and hybrid connectivity foundations</w:t>
      </w:r>
    </w:p>
    <w:p>
      <w:pPr>
        <w:numPr>
          <w:ilvl w:val="0"/>
          <w:numId w:val="13"/>
        </w:numPr>
      </w:pPr>
      <w:r/>
      <w:r>
        <w:rPr>
          <w:i/>
        </w:rPr>
        <w:t>Compliance, Governance &amp; Control Assurance</w:t>
      </w:r>
      <w:r>
        <w:t>*</w:t>
      </w:r>
    </w:p>
    <w:p>
      <w:pPr>
        <w:numPr>
          <w:ilvl w:val="0"/>
          <w:numId w:val="13"/>
        </w:numPr>
      </w:pPr>
      <w:r/>
      <w:r>
        <w:t>NIST CSF 2.0, CJIS, HIPAA, PCI, CUI, PII, law-enforcement and public-safety data protection, financial and health data protection, export-controlled data, FIPS, FISA, FINRA, SEC, CMMC, FedRAMP / StateRAMP, securities-regulation environments, continuous control monitoring, audit automation, enterprise architecture review boards, standards libraries, decision records, GRC / ServiceNow integration, SDLC policy enforcement, secure architecture review, control evidence and reporting</w:t>
      </w:r>
    </w:p>
    <w:p>
      <w:pPr>
        <w:numPr>
          <w:ilvl w:val="0"/>
          <w:numId w:val="13"/>
        </w:numPr>
      </w:pPr>
      <w:r/>
      <w:r>
        <w:rPr>
          <w:i/>
        </w:rPr>
        <w:t>Microsoft 365 &amp; Modern Workplace</w:t>
      </w:r>
      <w:r>
        <w:t>*</w:t>
      </w:r>
    </w:p>
    <w:p>
      <w:pPr>
        <w:numPr>
          <w:ilvl w:val="0"/>
          <w:numId w:val="13"/>
        </w:numPr>
      </w:pPr>
      <w:r/>
      <w:r>
        <w:t>Teams, Exchange Online, SharePoint / OneDrive, Bookings, Microsoft Purview compliance administration, Conditional Access for M365, endpoint and identity cloud-management foundations, collaboration governance</w:t>
      </w:r>
    </w:p>
    <w:p>
      <w:pPr>
        <w:numPr>
          <w:ilvl w:val="0"/>
          <w:numId w:val="13"/>
        </w:numPr>
      </w:pPr>
      <w:r/>
      <w:r>
        <w:rPr>
          <w:i/>
        </w:rPr>
        <w:t>Additional</w:t>
      </w:r>
      <w:r>
        <w:t>*</w:t>
      </w:r>
    </w:p>
    <w:p>
      <w:pPr>
        <w:numPr>
          <w:ilvl w:val="0"/>
          <w:numId w:val="13"/>
        </w:numPr>
      </w:pPr>
      <w:r/>
      <w:r>
        <w:t>MSP and ITIL service delivery models, venue / stadium / live-event technology support from entertainment production background, high-visibility public-facing environments, cross-functional &amp; executive engagement, project and program management &amp; SCRUM leadership, mentoring &amp; technical training program development</w:t>
      </w:r>
    </w:p>
    <w:sectPr w:rsidR="00463E34" w:rsidSect="003D585D">
      <w:headerReference w:type="default" r:id="rId11"/>
      <w:footerReference w:type="default" r:id="rId12"/>
      <w:pgSz w:w="12240" w:h="15840"/>
      <w:pgMar w:top="720"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9EECF" w14:textId="77777777" w:rsidR="00A637DB" w:rsidRDefault="00A637DB" w:rsidP="003D585D">
      <w:r>
        <w:separator/>
      </w:r>
    </w:p>
  </w:endnote>
  <w:endnote w:type="continuationSeparator" w:id="0">
    <w:p w14:paraId="171E61F5" w14:textId="77777777" w:rsidR="00A637DB" w:rsidRDefault="00A637DB" w:rsidP="003D5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344DA" w14:textId="525F4110" w:rsidR="003D585D" w:rsidRPr="003D585D" w:rsidRDefault="003D585D" w:rsidP="003D585D">
    <w:pPr>
      <w:pStyle w:val="Footer"/>
      <w:tabs>
        <w:tab w:val="clear" w:pos="4680"/>
        <w:tab w:val="clear" w:pos="9360"/>
        <w:tab w:val="center" w:pos="5400"/>
        <w:tab w:val="right" w:pos="10800"/>
      </w:tabs>
      <w:rPr>
        <w:sz w:val="16"/>
        <w:szCs w:val="16"/>
      </w:rPr>
    </w:pPr>
    <w:r w:rsidRPr="003D585D">
      <w:rPr>
        <w:sz w:val="16"/>
        <w:szCs w:val="16"/>
      </w:rPr>
      <w:t>Jake Richard Meyers</w:t>
    </w:r>
    <w:r w:rsidRPr="003D585D">
      <w:rPr>
        <w:sz w:val="16"/>
        <w:szCs w:val="16"/>
      </w:rPr>
      <w:tab/>
    </w:r>
    <w:sdt>
      <w:sdtPr>
        <w:rPr>
          <w:sz w:val="16"/>
          <w:szCs w:val="16"/>
        </w:rPr>
        <w:alias w:val="Title"/>
        <w:tag w:val=""/>
        <w:id w:val="-54017640"/>
        <w:placeholder>
          <w:docPart w:val="6B7F821734A341F5A8478FE1C6E08850"/>
        </w:placeholder>
        <w:dataBinding w:prefixMappings="xmlns:ns0='http://purl.org/dc/elements/1.1/' xmlns:ns1='http://schemas.openxmlformats.org/package/2006/metadata/core-properties' " w:xpath="/ns1:coreProperties[1]/ns0:title[1]" w:storeItemID="{6C3C8BC8-F283-45AE-878A-BAB7291924A1}"/>
        <w:text/>
      </w:sdtPr>
      <w:sdtContent>
        <w:r w:rsidRPr="003D585D">
          <w:rPr>
            <w:sz w:val="16"/>
            <w:szCs w:val="16"/>
          </w:rPr>
          <w:t>Resume 2026</w:t>
        </w:r>
      </w:sdtContent>
    </w:sdt>
    <w:r w:rsidRPr="003D585D">
      <w:rPr>
        <w:sz w:val="16"/>
        <w:szCs w:val="16"/>
      </w:rPr>
      <w:tab/>
    </w:r>
    <w:sdt>
      <w:sdtPr>
        <w:rPr>
          <w:sz w:val="16"/>
          <w:szCs w:val="16"/>
        </w:rPr>
        <w:alias w:val="Subject"/>
        <w:tag w:val=""/>
        <w:id w:val="534857096"/>
        <w:placeholder>
          <w:docPart w:val="ABA7AF3D82EE4B8BB5CD52F89C28E7B9"/>
        </w:placeholder>
        <w:dataBinding w:prefixMappings="xmlns:ns0='http://purl.org/dc/elements/1.1/' xmlns:ns1='http://schemas.openxmlformats.org/package/2006/metadata/core-properties' " w:xpath="/ns1:coreProperties[1]/ns0:subject[1]" w:storeItemID="{6C3C8BC8-F283-45AE-878A-BAB7291924A1}"/>
        <w:text/>
      </w:sdtPr>
      <w:sdtContent>
        <w:r>
          <w:rPr>
            <w:sz w:val="16"/>
            <w:szCs w:val="16"/>
          </w:rPr>
          <w:t>v26.8.</w:t>
        </w:r>
        <w:proofErr w:type="gramStart"/>
        <w:r>
          <w:rPr>
            <w:sz w:val="16"/>
            <w:szCs w:val="16"/>
          </w:rPr>
          <w:t>1.a</w:t>
        </w:r>
        <w:proofErr w:type="gramEnd"/>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2CAA0" w14:textId="77777777" w:rsidR="00A637DB" w:rsidRDefault="00A637DB" w:rsidP="003D585D">
      <w:r>
        <w:separator/>
      </w:r>
    </w:p>
  </w:footnote>
  <w:footnote w:type="continuationSeparator" w:id="0">
    <w:p w14:paraId="75B876BB" w14:textId="77777777" w:rsidR="00A637DB" w:rsidRDefault="00A637DB" w:rsidP="003D5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1D80E" w14:textId="04BAB6FB" w:rsidR="003D585D" w:rsidRPr="003D585D" w:rsidRDefault="003D585D" w:rsidP="003D585D">
    <w:pPr>
      <w:pStyle w:val="Header"/>
      <w:jc w:val="center"/>
      <w:rPr>
        <w:sz w:val="16"/>
        <w:szCs w:val="16"/>
      </w:rPr>
    </w:pPr>
    <w:r w:rsidRPr="003D585D">
      <w:rPr>
        <w:sz w:val="16"/>
        <w:szCs w:val="16"/>
      </w:rPr>
      <w:t xml:space="preserve">This resume is optimized for AI; </w:t>
    </w:r>
    <w:proofErr w:type="gramStart"/>
    <w:r w:rsidRPr="003D585D">
      <w:rPr>
        <w:sz w:val="16"/>
        <w:szCs w:val="16"/>
      </w:rPr>
      <w:t>humans</w:t>
    </w:r>
    <w:proofErr w:type="gramEnd"/>
    <w:r w:rsidRPr="003D585D">
      <w:rPr>
        <w:sz w:val="16"/>
        <w:szCs w:val="16"/>
      </w:rPr>
      <w:t xml:space="preserve"> please visit </w:t>
    </w:r>
    <w:hyperlink r:id="rId1" w:history="1">
      <w:r w:rsidRPr="003D585D">
        <w:rPr>
          <w:rStyle w:val="Hyperlink"/>
          <w:sz w:val="16"/>
          <w:szCs w:val="16"/>
        </w:rPr>
        <w:t>https://askjake.pro</w:t>
      </w:r>
    </w:hyperlink>
    <w:r w:rsidRPr="003D585D">
      <w:rPr>
        <w:sz w:val="16"/>
        <w:szCs w:val="16"/>
      </w:rPr>
      <w:t xml:space="preserve"> for additional and visually optimized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1331"/>
    <w:multiLevelType w:val="multilevel"/>
    <w:tmpl w:val="074A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55A42"/>
    <w:multiLevelType w:val="multilevel"/>
    <w:tmpl w:val="D324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0657B"/>
    <w:multiLevelType w:val="multilevel"/>
    <w:tmpl w:val="FDB84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D41B91"/>
    <w:multiLevelType w:val="multilevel"/>
    <w:tmpl w:val="7D0A7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9A1D40"/>
    <w:multiLevelType w:val="multilevel"/>
    <w:tmpl w:val="5E04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633451"/>
    <w:multiLevelType w:val="multilevel"/>
    <w:tmpl w:val="9CB0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F5959"/>
    <w:multiLevelType w:val="multilevel"/>
    <w:tmpl w:val="C6F88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976AC3"/>
    <w:multiLevelType w:val="multilevel"/>
    <w:tmpl w:val="16F2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D2331C"/>
    <w:multiLevelType w:val="multilevel"/>
    <w:tmpl w:val="F338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693554"/>
    <w:multiLevelType w:val="multilevel"/>
    <w:tmpl w:val="24EE1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5B4C23"/>
    <w:multiLevelType w:val="multilevel"/>
    <w:tmpl w:val="6096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7B5AFA"/>
    <w:multiLevelType w:val="multilevel"/>
    <w:tmpl w:val="F13E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8201200">
    <w:abstractNumId w:val="4"/>
  </w:num>
  <w:num w:numId="2" w16cid:durableId="1872448802">
    <w:abstractNumId w:val="7"/>
  </w:num>
  <w:num w:numId="3" w16cid:durableId="396168366">
    <w:abstractNumId w:val="11"/>
  </w:num>
  <w:num w:numId="4" w16cid:durableId="1457718728">
    <w:abstractNumId w:val="9"/>
  </w:num>
  <w:num w:numId="5" w16cid:durableId="586691407">
    <w:abstractNumId w:val="6"/>
  </w:num>
  <w:num w:numId="6" w16cid:durableId="2055155205">
    <w:abstractNumId w:val="10"/>
  </w:num>
  <w:num w:numId="7" w16cid:durableId="439299709">
    <w:abstractNumId w:val="1"/>
  </w:num>
  <w:num w:numId="8" w16cid:durableId="1828084732">
    <w:abstractNumId w:val="2"/>
  </w:num>
  <w:num w:numId="9" w16cid:durableId="1392775822">
    <w:abstractNumId w:val="5"/>
  </w:num>
  <w:num w:numId="10" w16cid:durableId="578059383">
    <w:abstractNumId w:val="0"/>
  </w:num>
  <w:num w:numId="11" w16cid:durableId="901910823">
    <w:abstractNumId w:val="8"/>
  </w:num>
  <w:num w:numId="12" w16cid:durableId="1748072640">
    <w:abstractNumId w:val="3"/>
  </w:num>
  <w:abstractNum w:abstractNumId="12">
    <w:multiLevelType w:val="singleLevel"/>
    <w:lvl w:ilvl="0">
      <w:start w:val="1"/>
      <w:numFmt w:val="bullet"/>
      <w:lvlText w:val="•"/>
      <w:lvlJc w:val="left"/>
      <w:pPr>
        <w:ind w:left="720" w:hanging="360"/>
      </w:pPr>
      <w:rPr>
        <w:rFonts w:ascii="Symbol" w:hAnsi="Symbol"/>
      </w:rPr>
    </w:lvl>
  </w:abstract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9E2"/>
    <w:rsid w:val="00263DCB"/>
    <w:rsid w:val="003D585D"/>
    <w:rsid w:val="003E69E2"/>
    <w:rsid w:val="00463E34"/>
    <w:rsid w:val="006D739F"/>
    <w:rsid w:val="00A46F32"/>
    <w:rsid w:val="00A637DB"/>
    <w:rsid w:val="00BD2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434E0"/>
  <w15:chartTrackingRefBased/>
  <w15:docId w15:val="{CA589986-70AA-46D8-95CD-B2EC40D4C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after="120"/>
      <w:outlineLvl w:val="0"/>
    </w:pPr>
    <w:rPr>
      <w:b/>
      <w:bCs/>
      <w:kern w:val="36"/>
      <w:sz w:val="34"/>
      <w:szCs w:val="34"/>
    </w:rPr>
  </w:style>
  <w:style w:type="paragraph" w:styleId="Heading2">
    <w:name w:val="heading 2"/>
    <w:basedOn w:val="Normal"/>
    <w:link w:val="Heading2Char"/>
    <w:uiPriority w:val="9"/>
    <w:qFormat/>
    <w:pPr>
      <w:pBdr>
        <w:bottom w:val="single" w:sz="6" w:space="0" w:color="888888"/>
      </w:pBdr>
      <w:spacing w:before="200" w:after="80"/>
      <w:outlineLvl w:val="1"/>
    </w:pPr>
    <w:rPr>
      <w:b/>
      <w:bCs/>
      <w:sz w:val="26"/>
      <w:szCs w:val="26"/>
    </w:rPr>
  </w:style>
  <w:style w:type="paragraph" w:styleId="Heading3">
    <w:name w:val="heading 3"/>
    <w:basedOn w:val="Normal"/>
    <w:link w:val="Heading3Char"/>
    <w:uiPriority w:val="9"/>
    <w:qFormat/>
    <w:pPr>
      <w:spacing w:before="160" w:after="40"/>
      <w:outlineLvl w:val="2"/>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645AD"/>
      <w:u w:val="single"/>
    </w:rPr>
  </w:style>
  <w:style w:type="character" w:styleId="FollowedHyperlink">
    <w:name w:val="FollowedHyperlink"/>
    <w:basedOn w:val="DefaultParagraphFont"/>
    <w:uiPriority w:val="99"/>
    <w:semiHidden/>
    <w:unhideWhenUsed/>
    <w:rPr>
      <w:color w:val="0645AD"/>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styleId="Strong">
    <w:name w:val="Strong"/>
    <w:basedOn w:val="DefaultParagraphFont"/>
    <w:uiPriority w:val="22"/>
    <w:qFormat/>
    <w:rPr>
      <w:b/>
      <w:bCs/>
    </w:rPr>
  </w:style>
  <w:style w:type="paragraph" w:customStyle="1" w:styleId="msonormal0">
    <w:name w:val="msonormal"/>
    <w:basedOn w:val="Normal"/>
    <w:pPr>
      <w:spacing w:before="40" w:after="100"/>
    </w:pPr>
  </w:style>
  <w:style w:type="paragraph" w:styleId="NormalWeb">
    <w:name w:val="Normal (Web)"/>
    <w:basedOn w:val="Normal"/>
    <w:uiPriority w:val="99"/>
    <w:semiHidden/>
    <w:unhideWhenUsed/>
    <w:pPr>
      <w:spacing w:before="40" w:after="100"/>
    </w:pPr>
  </w:style>
  <w:style w:type="paragraph" w:styleId="Header">
    <w:name w:val="header"/>
    <w:basedOn w:val="Normal"/>
    <w:link w:val="HeaderChar"/>
    <w:uiPriority w:val="99"/>
    <w:unhideWhenUsed/>
    <w:rsid w:val="003D585D"/>
    <w:pPr>
      <w:tabs>
        <w:tab w:val="center" w:pos="4680"/>
        <w:tab w:val="right" w:pos="9360"/>
      </w:tabs>
    </w:pPr>
  </w:style>
  <w:style w:type="character" w:customStyle="1" w:styleId="HeaderChar">
    <w:name w:val="Header Char"/>
    <w:basedOn w:val="DefaultParagraphFont"/>
    <w:link w:val="Header"/>
    <w:uiPriority w:val="99"/>
    <w:rsid w:val="003D585D"/>
    <w:rPr>
      <w:rFonts w:eastAsiaTheme="minorEastAsia"/>
      <w:sz w:val="24"/>
      <w:szCs w:val="24"/>
    </w:rPr>
  </w:style>
  <w:style w:type="paragraph" w:styleId="Footer">
    <w:name w:val="footer"/>
    <w:basedOn w:val="Normal"/>
    <w:link w:val="FooterChar"/>
    <w:uiPriority w:val="99"/>
    <w:unhideWhenUsed/>
    <w:rsid w:val="003D585D"/>
    <w:pPr>
      <w:tabs>
        <w:tab w:val="center" w:pos="4680"/>
        <w:tab w:val="right" w:pos="9360"/>
      </w:tabs>
    </w:pPr>
  </w:style>
  <w:style w:type="character" w:customStyle="1" w:styleId="FooterChar">
    <w:name w:val="Footer Char"/>
    <w:basedOn w:val="DefaultParagraphFont"/>
    <w:link w:val="Footer"/>
    <w:uiPriority w:val="99"/>
    <w:rsid w:val="003D585D"/>
    <w:rPr>
      <w:rFonts w:eastAsiaTheme="minorEastAsia"/>
      <w:sz w:val="24"/>
      <w:szCs w:val="24"/>
    </w:rPr>
  </w:style>
  <w:style w:type="character" w:styleId="PlaceholderText">
    <w:name w:val="Placeholder Text"/>
    <w:basedOn w:val="DefaultParagraphFont"/>
    <w:uiPriority w:val="99"/>
    <w:semiHidden/>
    <w:rsid w:val="003D585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8250">
      <w:blockQuote w:val="1"/>
      <w:marLeft w:val="0"/>
      <w:marRight w:val="0"/>
      <w:marTop w:val="0"/>
      <w:marBottom w:val="100"/>
      <w:divBdr>
        <w:top w:val="none" w:sz="0" w:space="0" w:color="auto"/>
        <w:left w:val="none" w:sz="0" w:space="0" w:color="auto"/>
        <w:bottom w:val="none" w:sz="0" w:space="0" w:color="auto"/>
        <w:right w:val="none" w:sz="0" w:space="0" w:color="auto"/>
      </w:divBdr>
    </w:div>
    <w:div w:id="177426699">
      <w:blockQuote w:val="1"/>
      <w:marLeft w:val="0"/>
      <w:marRight w:val="0"/>
      <w:marTop w:val="0"/>
      <w:marBottom w:val="100"/>
      <w:divBdr>
        <w:top w:val="none" w:sz="0" w:space="0" w:color="auto"/>
        <w:left w:val="none" w:sz="0" w:space="0" w:color="auto"/>
        <w:bottom w:val="none" w:sz="0" w:space="0" w:color="auto"/>
        <w:right w:val="none" w:sz="0" w:space="0" w:color="auto"/>
      </w:divBdr>
    </w:div>
    <w:div w:id="187062328">
      <w:blockQuote w:val="1"/>
      <w:marLeft w:val="0"/>
      <w:marRight w:val="0"/>
      <w:marTop w:val="0"/>
      <w:marBottom w:val="100"/>
      <w:divBdr>
        <w:top w:val="none" w:sz="0" w:space="0" w:color="auto"/>
        <w:left w:val="none" w:sz="0" w:space="0" w:color="auto"/>
        <w:bottom w:val="none" w:sz="0" w:space="0" w:color="auto"/>
        <w:right w:val="none" w:sz="0" w:space="0" w:color="auto"/>
      </w:divBdr>
    </w:div>
    <w:div w:id="655308333">
      <w:blockQuote w:val="1"/>
      <w:marLeft w:val="0"/>
      <w:marRight w:val="0"/>
      <w:marTop w:val="0"/>
      <w:marBottom w:val="100"/>
      <w:divBdr>
        <w:top w:val="none" w:sz="0" w:space="0" w:color="auto"/>
        <w:left w:val="none" w:sz="0" w:space="0" w:color="auto"/>
        <w:bottom w:val="none" w:sz="0" w:space="0" w:color="auto"/>
        <w:right w:val="none" w:sz="0" w:space="0" w:color="auto"/>
      </w:divBdr>
    </w:div>
    <w:div w:id="755633944">
      <w:blockQuote w:val="1"/>
      <w:marLeft w:val="0"/>
      <w:marRight w:val="0"/>
      <w:marTop w:val="0"/>
      <w:marBottom w:val="100"/>
      <w:divBdr>
        <w:top w:val="none" w:sz="0" w:space="0" w:color="auto"/>
        <w:left w:val="none" w:sz="0" w:space="0" w:color="auto"/>
        <w:bottom w:val="none" w:sz="0" w:space="0" w:color="auto"/>
        <w:right w:val="none" w:sz="0" w:space="0" w:color="auto"/>
      </w:divBdr>
    </w:div>
    <w:div w:id="1084375362">
      <w:blockQuote w:val="1"/>
      <w:marLeft w:val="0"/>
      <w:marRight w:val="0"/>
      <w:marTop w:val="0"/>
      <w:marBottom w:val="100"/>
      <w:divBdr>
        <w:top w:val="none" w:sz="0" w:space="0" w:color="auto"/>
        <w:left w:val="none" w:sz="0" w:space="0" w:color="auto"/>
        <w:bottom w:val="none" w:sz="0" w:space="0" w:color="auto"/>
        <w:right w:val="none" w:sz="0" w:space="0" w:color="auto"/>
      </w:divBdr>
    </w:div>
    <w:div w:id="1174223385">
      <w:blockQuote w:val="1"/>
      <w:marLeft w:val="0"/>
      <w:marRight w:val="0"/>
      <w:marTop w:val="0"/>
      <w:marBottom w:val="100"/>
      <w:divBdr>
        <w:top w:val="none" w:sz="0" w:space="0" w:color="auto"/>
        <w:left w:val="none" w:sz="0" w:space="0" w:color="auto"/>
        <w:bottom w:val="none" w:sz="0" w:space="0" w:color="auto"/>
        <w:right w:val="none" w:sz="0" w:space="0" w:color="auto"/>
      </w:divBdr>
    </w:div>
    <w:div w:id="1942180981">
      <w:blockQuote w:val="1"/>
      <w:marLeft w:val="0"/>
      <w:marRight w:val="0"/>
      <w:marTop w:val="0"/>
      <w:marBottom w:val="10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kjake.p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ithub.com/jakermey" TargetMode="External"/><Relationship Id="rId4" Type="http://schemas.openxmlformats.org/officeDocument/2006/relationships/settings" Target="settings.xml"/><Relationship Id="rId9" Type="http://schemas.openxmlformats.org/officeDocument/2006/relationships/hyperlink" Target="https://www.linkedin.com/in/jakermey"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hyperlink" Target="https://askjake.pr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7F821734A341F5A8478FE1C6E08850"/>
        <w:category>
          <w:name w:val="General"/>
          <w:gallery w:val="placeholder"/>
        </w:category>
        <w:types>
          <w:type w:val="bbPlcHdr"/>
        </w:types>
        <w:behaviors>
          <w:behavior w:val="content"/>
        </w:behaviors>
        <w:guid w:val="{A9CD4064-7962-4BEB-A82E-CD53E79913D9}"/>
      </w:docPartPr>
      <w:docPartBody>
        <w:p w:rsidR="00000000" w:rsidRDefault="00E06190">
          <w:r w:rsidRPr="00AF3B59">
            <w:rPr>
              <w:rStyle w:val="PlaceholderText"/>
            </w:rPr>
            <w:t>[Title]</w:t>
          </w:r>
        </w:p>
      </w:docPartBody>
    </w:docPart>
    <w:docPart>
      <w:docPartPr>
        <w:name w:val="ABA7AF3D82EE4B8BB5CD52F89C28E7B9"/>
        <w:category>
          <w:name w:val="General"/>
          <w:gallery w:val="placeholder"/>
        </w:category>
        <w:types>
          <w:type w:val="bbPlcHdr"/>
        </w:types>
        <w:behaviors>
          <w:behavior w:val="content"/>
        </w:behaviors>
        <w:guid w:val="{E7118687-AACD-4560-8941-BE39B9AF2E0B}"/>
      </w:docPartPr>
      <w:docPartBody>
        <w:p w:rsidR="00000000" w:rsidRDefault="00E06190">
          <w:r w:rsidRPr="00AF3B59">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190"/>
    <w:rsid w:val="00A46F32"/>
    <w:rsid w:val="00E06190"/>
    <w:rsid w:val="00E23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190"/>
    <w:rPr>
      <w:rFonts w:cs="Times New Roman"/>
      <w:sz w:val="3276"/>
      <w:szCs w:val="3276"/>
    </w:rPr>
  </w:style>
  <w:style w:type="character" w:default="1" w:styleId="DefaultParagraphFont">
    <w:name w:val="Default Paragraph Font"/>
    <w:uiPriority w:val="1"/>
    <w:semiHidden/>
    <w:unhideWhenUsed/>
    <w:rsid w:val="00E0619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619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461B5-0F5F-47A3-A3F2-FDA0DF3F2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5047</Words>
  <Characters>28769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Resume 2026</vt:lpstr>
    </vt:vector>
  </TitlesOfParts>
  <Company/>
  <LinksUpToDate>false</LinksUpToDate>
  <CharactersWithSpaces>33749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Jake Richard Meyers - v26.8.18 - Standard</dc:title>
  <dc:subject>v26.8.18</dc:subject>
  <dc:creator>Jake Meyers</dc:creator>
  <cp:keywords/>
  <dc:description/>
  <cp:lastModifiedBy>Jake Meyers</cp:lastModifiedBy>
  <cp:revision>2</cp:revision>
  <dcterms:created xsi:type="dcterms:W3CDTF">2026-08-13T20:07:00Z</dcterms:created>
  <dcterms:modified xsi:type="dcterms:W3CDTF">2026-08-13T20:07:00Z</dcterms:modified>
</cp:coreProperties>
</file>